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BA" w:rsidRPr="004C6C77" w:rsidRDefault="00F30802">
      <w:pPr>
        <w:rPr>
          <w:lang w:val="en-US"/>
        </w:rPr>
      </w:pPr>
      <w:r w:rsidRPr="00F30802">
        <w:rPr>
          <w:noProof/>
          <w:lang w:eastAsia="it-IT"/>
        </w:rPr>
        <w:drawing>
          <wp:inline distT="0" distB="0" distL="0" distR="0">
            <wp:extent cx="1743075" cy="2619375"/>
            <wp:effectExtent l="0" t="0" r="9525" b="9525"/>
            <wp:docPr id="5" name="Immagine 5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7BA">
        <w:rPr>
          <w:noProof/>
          <w:color w:val="44444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2215001"/>
            <wp:effectExtent l="0" t="0" r="0" b="0"/>
            <wp:wrapSquare wrapText="bothSides"/>
            <wp:docPr id="1" name="Immagine 1" descr="http://www.matteiaversa.it/images/immaginitestata/scuola.png">
              <a:hlinkClick xmlns:a="http://schemas.openxmlformats.org/drawingml/2006/main" r:id="rId8" tooltip="La Se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teiaversa.it/images/immaginitestata/scuo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1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C77">
        <w:rPr>
          <w:lang w:val="en-US"/>
        </w:rPr>
        <w:t>AVERSA</w:t>
      </w:r>
      <w:r w:rsidRPr="004C6C77">
        <w:rPr>
          <w:lang w:val="en-US"/>
        </w:rPr>
        <w:br w:type="textWrapping" w:clear="all"/>
      </w:r>
    </w:p>
    <w:p w:rsidR="007D17BA" w:rsidRPr="004C6C77" w:rsidRDefault="007D17BA">
      <w:pPr>
        <w:rPr>
          <w:lang w:val="en-US"/>
        </w:rPr>
      </w:pPr>
      <w:r w:rsidRPr="004C6C77">
        <w:rPr>
          <w:lang w:val="en-US"/>
        </w:rPr>
        <w:t xml:space="preserve">Our school, </w:t>
      </w:r>
      <w:r w:rsidRPr="004C6C77">
        <w:rPr>
          <w:i/>
          <w:lang w:val="en-US"/>
        </w:rPr>
        <w:t>ISISS “</w:t>
      </w:r>
      <w:proofErr w:type="spellStart"/>
      <w:r w:rsidRPr="004C6C77">
        <w:rPr>
          <w:i/>
          <w:lang w:val="en-US"/>
        </w:rPr>
        <w:t>Enrico</w:t>
      </w:r>
      <w:proofErr w:type="spellEnd"/>
      <w:r w:rsidRPr="004C6C77">
        <w:rPr>
          <w:i/>
          <w:lang w:val="en-US"/>
        </w:rPr>
        <w:t xml:space="preserve"> </w:t>
      </w:r>
      <w:proofErr w:type="spellStart"/>
      <w:r w:rsidRPr="004C6C77">
        <w:rPr>
          <w:i/>
          <w:lang w:val="en-US"/>
        </w:rPr>
        <w:t>Mattei</w:t>
      </w:r>
      <w:proofErr w:type="spellEnd"/>
      <w:r w:rsidRPr="004C6C77">
        <w:rPr>
          <w:i/>
          <w:lang w:val="en-US"/>
        </w:rPr>
        <w:t>”</w:t>
      </w:r>
      <w:r w:rsidRPr="004C6C77">
        <w:rPr>
          <w:lang w:val="en-US"/>
        </w:rPr>
        <w:t>, is situated in Aversa, a large and historical town in the north of Naples, in the south of Italy.</w:t>
      </w:r>
    </w:p>
    <w:p w:rsidR="007D17BA" w:rsidRPr="004C6C77" w:rsidRDefault="007D17BA">
      <w:pPr>
        <w:rPr>
          <w:lang w:val="en-US"/>
        </w:rPr>
      </w:pPr>
      <w:r w:rsidRPr="004C6C77">
        <w:rPr>
          <w:lang w:val="en-US"/>
        </w:rPr>
        <w:t xml:space="preserve">Its origin goes back to 1971/72, when it was born as </w:t>
      </w:r>
      <w:r w:rsidR="00BB65DD" w:rsidRPr="004C6C77">
        <w:rPr>
          <w:lang w:val="en-US"/>
        </w:rPr>
        <w:t>a vocational</w:t>
      </w:r>
      <w:r w:rsidR="00581876" w:rsidRPr="004C6C77">
        <w:rPr>
          <w:lang w:val="en-US"/>
        </w:rPr>
        <w:t xml:space="preserve"> high</w:t>
      </w:r>
      <w:r w:rsidR="00BB65DD" w:rsidRPr="004C6C77">
        <w:rPr>
          <w:lang w:val="en-US"/>
        </w:rPr>
        <w:t xml:space="preserve"> school with only one department: Commerce. Today it includes four departments: the vocational departments of Commerce and Social – Health care Services, and the technical departments of Graphics and Tourism.</w:t>
      </w:r>
    </w:p>
    <w:p w:rsidR="00BB65DD" w:rsidRPr="004C6C77" w:rsidRDefault="00BB65DD">
      <w:pPr>
        <w:rPr>
          <w:lang w:val="en-US"/>
        </w:rPr>
      </w:pPr>
      <w:r w:rsidRPr="004C6C77">
        <w:rPr>
          <w:lang w:val="en-US"/>
        </w:rPr>
        <w:t xml:space="preserve">It </w:t>
      </w:r>
      <w:proofErr w:type="spellStart"/>
      <w:r w:rsidRPr="004C6C77">
        <w:rPr>
          <w:lang w:val="en-US"/>
        </w:rPr>
        <w:t>enrols</w:t>
      </w:r>
      <w:proofErr w:type="spellEnd"/>
      <w:r w:rsidRPr="004C6C77">
        <w:rPr>
          <w:lang w:val="en-US"/>
        </w:rPr>
        <w:t xml:space="preserve"> 1275 students</w:t>
      </w:r>
      <w:r w:rsidR="00962839" w:rsidRPr="004C6C77">
        <w:rPr>
          <w:lang w:val="en-US"/>
        </w:rPr>
        <w:t>, aged between fourteen and eighteen,</w:t>
      </w:r>
      <w:r w:rsidRPr="004C6C77">
        <w:rPr>
          <w:lang w:val="en-US"/>
        </w:rPr>
        <w:t xml:space="preserve"> coming from Aversa and its surroundings</w:t>
      </w:r>
      <w:r w:rsidR="008D357F" w:rsidRPr="004C6C77">
        <w:rPr>
          <w:lang w:val="en-US"/>
        </w:rPr>
        <w:t xml:space="preserve"> (about 10 municipalities with 100,000 inhabitants)</w:t>
      </w:r>
      <w:r w:rsidRPr="004C6C77">
        <w:rPr>
          <w:lang w:val="en-US"/>
        </w:rPr>
        <w:t xml:space="preserve"> and from low social and cultural backgrounds. </w:t>
      </w:r>
    </w:p>
    <w:p w:rsidR="00581876" w:rsidRPr="004C6C77" w:rsidRDefault="00581876">
      <w:pPr>
        <w:rPr>
          <w:lang w:val="en-US"/>
        </w:rPr>
      </w:pPr>
      <w:r w:rsidRPr="004C6C77">
        <w:rPr>
          <w:lang w:val="en-US"/>
        </w:rPr>
        <w:t>The school operates in a territory characterized by a deep social and economic imbalance with a high unemployment</w:t>
      </w:r>
      <w:r w:rsidR="00962839" w:rsidRPr="004C6C77">
        <w:rPr>
          <w:lang w:val="en-US"/>
        </w:rPr>
        <w:t xml:space="preserve"> especially amon</w:t>
      </w:r>
      <w:r w:rsidRPr="004C6C77">
        <w:rPr>
          <w:lang w:val="en-US"/>
        </w:rPr>
        <w:t>g young people. Our school aims at giving students opportunities and motivation to get a job at the end of the five years of study.</w:t>
      </w:r>
      <w:r w:rsidR="00962839" w:rsidRPr="004C6C77">
        <w:rPr>
          <w:lang w:val="en-US"/>
        </w:rPr>
        <w:t xml:space="preserve"> The school has been able to enhance its training offer through alternating traini</w:t>
      </w:r>
      <w:r w:rsidR="00BA4AF9">
        <w:rPr>
          <w:lang w:val="en-US"/>
        </w:rPr>
        <w:t>n</w:t>
      </w:r>
      <w:r w:rsidR="00962839" w:rsidRPr="004C6C77">
        <w:rPr>
          <w:lang w:val="en-US"/>
        </w:rPr>
        <w:t xml:space="preserve">g activities that </w:t>
      </w:r>
      <w:r w:rsidR="004C6C77">
        <w:rPr>
          <w:lang w:val="en-US"/>
        </w:rPr>
        <w:t>e</w:t>
      </w:r>
      <w:r w:rsidR="00962839" w:rsidRPr="004C6C77">
        <w:rPr>
          <w:lang w:val="en-US"/>
        </w:rPr>
        <w:t>ngage students in real work experiences at local businesses and societ</w:t>
      </w:r>
      <w:r w:rsidR="001B058E">
        <w:rPr>
          <w:lang w:val="en-US"/>
        </w:rPr>
        <w:t>i</w:t>
      </w:r>
      <w:r w:rsidR="00962839" w:rsidRPr="004C6C77">
        <w:rPr>
          <w:lang w:val="en-US"/>
        </w:rPr>
        <w:t>es.</w:t>
      </w:r>
      <w:r w:rsidR="00295095" w:rsidRPr="004C6C77">
        <w:rPr>
          <w:lang w:val="en-US"/>
        </w:rPr>
        <w:t xml:space="preserve"> Aware of its great task concerni</w:t>
      </w:r>
      <w:r w:rsidR="001B058E">
        <w:rPr>
          <w:lang w:val="en-US"/>
        </w:rPr>
        <w:t>n</w:t>
      </w:r>
      <w:r w:rsidR="00295095" w:rsidRPr="004C6C77">
        <w:rPr>
          <w:lang w:val="en-US"/>
        </w:rPr>
        <w:t>g the education and training of new generations, our school is determined to carry it out pursuing the values of equalities, trust, cooperation and s</w:t>
      </w:r>
      <w:r w:rsidR="00D63E2F">
        <w:rPr>
          <w:lang w:val="en-US"/>
        </w:rPr>
        <w:t>olidari</w:t>
      </w:r>
      <w:r w:rsidR="00295095" w:rsidRPr="004C6C77">
        <w:rPr>
          <w:lang w:val="en-US"/>
        </w:rPr>
        <w:t>ty.</w:t>
      </w:r>
    </w:p>
    <w:p w:rsidR="00295095" w:rsidRPr="004C6C77" w:rsidRDefault="00295095">
      <w:pPr>
        <w:rPr>
          <w:lang w:val="en-US"/>
        </w:rPr>
      </w:pPr>
      <w:r w:rsidRPr="004C6C77">
        <w:rPr>
          <w:lang w:val="en-US"/>
        </w:rPr>
        <w:t>In particular, the educational</w:t>
      </w:r>
      <w:r w:rsidR="00B077DA" w:rsidRPr="004C6C77">
        <w:rPr>
          <w:lang w:val="en-US"/>
        </w:rPr>
        <w:t xml:space="preserve"> purposes that our school intends to pursue are the following ones:</w:t>
      </w:r>
    </w:p>
    <w:p w:rsidR="00B077DA" w:rsidRPr="004C6C77" w:rsidRDefault="00B077DA" w:rsidP="00B077DA">
      <w:pPr>
        <w:pStyle w:val="Paragrafoelenco"/>
        <w:numPr>
          <w:ilvl w:val="0"/>
          <w:numId w:val="1"/>
        </w:numPr>
        <w:rPr>
          <w:lang w:val="en-US"/>
        </w:rPr>
      </w:pPr>
      <w:r w:rsidRPr="004C6C77">
        <w:rPr>
          <w:lang w:val="en-US"/>
        </w:rPr>
        <w:t>Help students to become more responsible and autonomous</w:t>
      </w:r>
    </w:p>
    <w:p w:rsidR="00B077DA" w:rsidRPr="004C6C77" w:rsidRDefault="00B077DA" w:rsidP="00B077DA">
      <w:pPr>
        <w:pStyle w:val="Paragrafoelenco"/>
        <w:numPr>
          <w:ilvl w:val="0"/>
          <w:numId w:val="1"/>
        </w:numPr>
        <w:rPr>
          <w:lang w:val="en-US"/>
        </w:rPr>
      </w:pPr>
      <w:r w:rsidRPr="004C6C77">
        <w:rPr>
          <w:lang w:val="en-US"/>
        </w:rPr>
        <w:t>Help students to acquire tools to analyze the complexity of realty in order to be not influenced by it passively</w:t>
      </w:r>
    </w:p>
    <w:p w:rsidR="00B077DA" w:rsidRPr="004C6C77" w:rsidRDefault="00B077DA" w:rsidP="00B077DA">
      <w:pPr>
        <w:pStyle w:val="Paragrafoelenco"/>
        <w:numPr>
          <w:ilvl w:val="0"/>
          <w:numId w:val="1"/>
        </w:numPr>
        <w:rPr>
          <w:lang w:val="en-US"/>
        </w:rPr>
      </w:pPr>
      <w:r w:rsidRPr="004C6C77">
        <w:rPr>
          <w:lang w:val="en-US"/>
        </w:rPr>
        <w:t>Help students to obtain a vocational training spendable on the work market.</w:t>
      </w:r>
    </w:p>
    <w:p w:rsidR="00B077DA" w:rsidRPr="004C6C77" w:rsidRDefault="002477AB" w:rsidP="002477AB">
      <w:pPr>
        <w:rPr>
          <w:lang w:val="en-US"/>
        </w:rPr>
      </w:pPr>
      <w:r w:rsidRPr="004C6C77">
        <w:rPr>
          <w:lang w:val="en-US"/>
        </w:rPr>
        <w:t>About that, the school provides students with a number of laboratories: Music, theatre, Graphics, lingui</w:t>
      </w:r>
      <w:r w:rsidR="00357024">
        <w:rPr>
          <w:lang w:val="en-US"/>
        </w:rPr>
        <w:t>s</w:t>
      </w:r>
      <w:r w:rsidRPr="004C6C77">
        <w:rPr>
          <w:lang w:val="en-US"/>
        </w:rPr>
        <w:t>tics, informatics, and also a big and well-stocked library,  as the pictures show:</w:t>
      </w:r>
    </w:p>
    <w:p w:rsidR="00101066" w:rsidRDefault="002477AB">
      <w:pPr>
        <w:rPr>
          <w:rFonts w:ascii="Titillium Web" w:hAnsi="Titillium Web"/>
          <w:noProof/>
          <w:color w:val="444444"/>
          <w:sz w:val="21"/>
          <w:szCs w:val="21"/>
          <w:lang w:eastAsia="it-IT"/>
        </w:rPr>
      </w:pPr>
      <w:r>
        <w:rPr>
          <w:rFonts w:ascii="Titillium Web" w:hAnsi="Titillium Web"/>
          <w:noProof/>
          <w:color w:val="444444"/>
          <w:sz w:val="21"/>
          <w:szCs w:val="2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36195</wp:posOffset>
            </wp:positionV>
            <wp:extent cx="190500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384" y="21438"/>
                <wp:lineTo x="21384" y="0"/>
                <wp:lineTo x="0" y="0"/>
              </wp:wrapPolygon>
            </wp:wrapThrough>
            <wp:docPr id="4" name="Immagine 4" descr="Laboratorio_di_grafica">
              <a:hlinkClick xmlns:a="http://schemas.openxmlformats.org/drawingml/2006/main" r:id="rId10" tooltip="&quot;&lt;strong&gt;&lt;em&gt;Laboratorio_di_grafica&lt;/em&gt;&lt;/strong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oratorio_di_grafica">
                      <a:hlinkClick r:id="rId10" tooltip="&quot;&lt;strong&gt;&lt;em&gt;Laboratorio_di_grafica&lt;/em&gt;&lt;/strong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tillium Web" w:hAnsi="Titillium Web"/>
          <w:noProof/>
          <w:color w:val="444444"/>
          <w:sz w:val="21"/>
          <w:szCs w:val="21"/>
          <w:lang w:eastAsia="it-IT"/>
        </w:rPr>
        <w:drawing>
          <wp:inline distT="0" distB="0" distL="0" distR="0">
            <wp:extent cx="1905000" cy="1266825"/>
            <wp:effectExtent l="0" t="0" r="0" b="9525"/>
            <wp:docPr id="2" name="Immagine 2" descr="Biblioteca_2">
              <a:hlinkClick xmlns:a="http://schemas.openxmlformats.org/drawingml/2006/main" r:id="rId12" tooltip="&quot;&lt;strong&gt;&lt;em&gt;Biblioteca_2&lt;/em&gt;&lt;/strong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teca_2">
                      <a:hlinkClick r:id="rId12" tooltip="&quot;&lt;strong&gt;&lt;em&gt;Biblioteca_2&lt;/em&gt;&lt;/strong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tillium Web" w:hAnsi="Titillium Web"/>
          <w:noProof/>
          <w:color w:val="444444"/>
          <w:sz w:val="21"/>
          <w:szCs w:val="21"/>
          <w:lang w:eastAsia="it-IT"/>
        </w:rPr>
        <w:drawing>
          <wp:inline distT="0" distB="0" distL="0" distR="0">
            <wp:extent cx="1905000" cy="1266825"/>
            <wp:effectExtent l="0" t="0" r="0" b="9525"/>
            <wp:docPr id="3" name="Immagine 3" descr="Laboratorio_di_chimica_2">
              <a:hlinkClick xmlns:a="http://schemas.openxmlformats.org/drawingml/2006/main" r:id="rId14" tooltip="&quot;&lt;strong&gt;&lt;em&gt;Laboratorio_di_chimica_2&lt;/em&gt;&lt;/strong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boratorio_di_chimica_2">
                      <a:hlinkClick r:id="rId14" tooltip="&quot;&lt;strong&gt;&lt;em&gt;Laboratorio_di_chimica_2&lt;/em&gt;&lt;/strong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02" w:rsidRPr="004C6C77" w:rsidRDefault="00101066" w:rsidP="0029512C">
      <w:pPr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</w:pPr>
      <w:r w:rsidRPr="004C6C77"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  <w:t>Apart from the educational programs, which are integral parts of its educational objectives, the school takes part in many extra-curricular projects</w:t>
      </w:r>
      <w:r w:rsidR="00F30802" w:rsidRPr="004C6C77"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  <w:t xml:space="preserve"> (Pon: Nationally programs supported financially by UE; Por: regionally </w:t>
      </w:r>
      <w:r w:rsidR="00F30802" w:rsidRPr="004C6C77"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  <w:lastRenderedPageBreak/>
        <w:t>organized programs supported financially by the UE</w:t>
      </w:r>
      <w:r w:rsidR="0029512C" w:rsidRPr="004C6C77"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  <w:t>) aiming at  enlarging work experiences and skills in different contexts and improving communication in foreign languages.</w:t>
      </w:r>
    </w:p>
    <w:p w:rsidR="0029512C" w:rsidRPr="004C6C77" w:rsidRDefault="0029512C" w:rsidP="0029512C">
      <w:pPr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</w:pPr>
      <w:r w:rsidRPr="004C6C77"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  <w:t xml:space="preserve">The students also contribute to the drafting of the school newspaper “Mattei News” with interesting articles </w:t>
      </w:r>
      <w:r w:rsidR="00D14394" w:rsidRPr="004C6C77"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  <w:t>on the school and social and cultural issues.</w:t>
      </w:r>
    </w:p>
    <w:p w:rsidR="00D14394" w:rsidRPr="004C6C77" w:rsidRDefault="00D14394" w:rsidP="0029512C">
      <w:pPr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</w:pPr>
      <w:r w:rsidRPr="004C6C77"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  <w:t>This year with the project “Scuola Viva” (Living School) our school is open to everybody, all the day, with a variety of extra –activities to help the most needy students.</w:t>
      </w:r>
      <w:bookmarkStart w:id="0" w:name="_GoBack"/>
      <w:bookmarkEnd w:id="0"/>
    </w:p>
    <w:p w:rsidR="0029512C" w:rsidRPr="004C6C77" w:rsidRDefault="0029512C" w:rsidP="0029512C">
      <w:pPr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</w:pPr>
    </w:p>
    <w:p w:rsidR="00F30802" w:rsidRPr="004C6C77" w:rsidRDefault="00F30802" w:rsidP="00F30802">
      <w:pPr>
        <w:pStyle w:val="Paragrafoelenco"/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</w:pPr>
    </w:p>
    <w:p w:rsidR="00F30802" w:rsidRPr="004C6C77" w:rsidRDefault="00F30802" w:rsidP="00F30802">
      <w:pPr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</w:pPr>
    </w:p>
    <w:p w:rsidR="00F30802" w:rsidRPr="004C6C77" w:rsidRDefault="00F30802">
      <w:pPr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</w:pPr>
    </w:p>
    <w:p w:rsidR="00F30802" w:rsidRPr="004C6C77" w:rsidRDefault="00F30802" w:rsidP="00F30802">
      <w:pPr>
        <w:pStyle w:val="Paragrafoelenco"/>
        <w:rPr>
          <w:rFonts w:ascii="Titillium Web" w:hAnsi="Titillium Web"/>
          <w:noProof/>
          <w:color w:val="444444"/>
          <w:sz w:val="21"/>
          <w:szCs w:val="21"/>
          <w:lang w:val="en-US" w:eastAsia="it-IT"/>
        </w:rPr>
      </w:pPr>
    </w:p>
    <w:sectPr w:rsidR="00F30802" w:rsidRPr="004C6C77" w:rsidSect="00BA1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BA" w:rsidRDefault="007D17BA" w:rsidP="007D17BA">
      <w:pPr>
        <w:spacing w:after="0" w:line="240" w:lineRule="auto"/>
      </w:pPr>
      <w:r>
        <w:separator/>
      </w:r>
    </w:p>
  </w:endnote>
  <w:endnote w:type="continuationSeparator" w:id="1">
    <w:p w:rsidR="007D17BA" w:rsidRDefault="007D17BA" w:rsidP="007D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BA" w:rsidRDefault="007D17BA" w:rsidP="007D17BA">
      <w:pPr>
        <w:spacing w:after="0" w:line="240" w:lineRule="auto"/>
      </w:pPr>
      <w:r>
        <w:separator/>
      </w:r>
    </w:p>
  </w:footnote>
  <w:footnote w:type="continuationSeparator" w:id="1">
    <w:p w:rsidR="007D17BA" w:rsidRDefault="007D17BA" w:rsidP="007D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B0A"/>
    <w:multiLevelType w:val="hybridMultilevel"/>
    <w:tmpl w:val="B394D70C"/>
    <w:lvl w:ilvl="0" w:tplc="09A6867C">
      <w:start w:val="1"/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25FE"/>
    <w:multiLevelType w:val="hybridMultilevel"/>
    <w:tmpl w:val="C7409736"/>
    <w:lvl w:ilvl="0" w:tplc="109A6666">
      <w:start w:val="1"/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432D6"/>
    <w:multiLevelType w:val="hybridMultilevel"/>
    <w:tmpl w:val="349473BA"/>
    <w:lvl w:ilvl="0" w:tplc="C986A94C">
      <w:start w:val="1"/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E2D2C"/>
    <w:multiLevelType w:val="hybridMultilevel"/>
    <w:tmpl w:val="95C06B0A"/>
    <w:lvl w:ilvl="0" w:tplc="CD5AA1B8">
      <w:start w:val="1"/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0A6F"/>
    <w:multiLevelType w:val="hybridMultilevel"/>
    <w:tmpl w:val="94342A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F7510"/>
    <w:multiLevelType w:val="hybridMultilevel"/>
    <w:tmpl w:val="376EF962"/>
    <w:lvl w:ilvl="0" w:tplc="804A091E">
      <w:start w:val="1"/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B0E"/>
    <w:rsid w:val="00101066"/>
    <w:rsid w:val="001B058E"/>
    <w:rsid w:val="002477AB"/>
    <w:rsid w:val="00295095"/>
    <w:rsid w:val="0029512C"/>
    <w:rsid w:val="00357024"/>
    <w:rsid w:val="004826D8"/>
    <w:rsid w:val="004C6C77"/>
    <w:rsid w:val="00581876"/>
    <w:rsid w:val="007D17BA"/>
    <w:rsid w:val="008D357F"/>
    <w:rsid w:val="00920B0E"/>
    <w:rsid w:val="00962839"/>
    <w:rsid w:val="00B077DA"/>
    <w:rsid w:val="00BA1612"/>
    <w:rsid w:val="00BA4AF9"/>
    <w:rsid w:val="00BB65DD"/>
    <w:rsid w:val="00D14394"/>
    <w:rsid w:val="00D63E2F"/>
    <w:rsid w:val="00F3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7BA"/>
  </w:style>
  <w:style w:type="paragraph" w:styleId="Pidipagina">
    <w:name w:val="footer"/>
    <w:basedOn w:val="Normale"/>
    <w:link w:val="PidipaginaCarattere"/>
    <w:uiPriority w:val="99"/>
    <w:unhideWhenUsed/>
    <w:rsid w:val="007D1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7BA"/>
  </w:style>
  <w:style w:type="paragraph" w:styleId="Paragrafoelenco">
    <w:name w:val="List Paragraph"/>
    <w:basedOn w:val="Normale"/>
    <w:uiPriority w:val="34"/>
    <w:qFormat/>
    <w:rsid w:val="00B077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iaversa.it/index.php/gallery/la-sede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teiaversa.it/images/Gallery/Sede/Biblioteca_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matteiaversa.it/images/Gallery/Sede/Laboratorio_di_grafic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atteiaversa.it/images/Gallery/Sede/Laboratorio_di_chimica_2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DOCENTI</cp:lastModifiedBy>
  <cp:revision>8</cp:revision>
  <dcterms:created xsi:type="dcterms:W3CDTF">2017-01-04T23:30:00Z</dcterms:created>
  <dcterms:modified xsi:type="dcterms:W3CDTF">2017-01-05T10:35:00Z</dcterms:modified>
</cp:coreProperties>
</file>